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7"/>
        <w:tabs>
          <w:tab w:val="right" w:pos="9639"/>
        </w:tabs>
        <w:spacing w:after="0"/>
        <w:rPr>
          <w:rFonts w:hint="default" w:eastAsiaTheme="minorEastAsia"/>
          <w:b/>
          <w:sz w:val="24"/>
          <w:lang w:val="en-US" w:eastAsia="zh-CN"/>
        </w:rPr>
      </w:pPr>
      <w:r>
        <w:rPr>
          <w:b/>
          <w:sz w:val="24"/>
        </w:rPr>
        <w:t xml:space="preserve">3GPP SA3 Meeting #94 </w:t>
      </w:r>
      <w:r>
        <w:rPr>
          <w:b/>
          <w:sz w:val="24"/>
        </w:rPr>
        <w:tab/>
      </w:r>
      <w:r>
        <w:rPr>
          <w:b/>
          <w:sz w:val="24"/>
        </w:rPr>
        <w:t>S3-19</w:t>
      </w:r>
      <w:r>
        <w:rPr>
          <w:rFonts w:hint="eastAsia"/>
          <w:b/>
          <w:sz w:val="24"/>
          <w:lang w:val="en-US" w:eastAsia="zh-CN"/>
        </w:rPr>
        <w:t>0164</w:t>
      </w:r>
    </w:p>
    <w:p>
      <w:pPr>
        <w:pStyle w:val="57"/>
        <w:tabs>
          <w:tab w:val="right" w:pos="9639"/>
        </w:tabs>
        <w:spacing w:after="0"/>
        <w:rPr>
          <w:b/>
          <w:sz w:val="24"/>
        </w:rPr>
      </w:pPr>
      <w:r>
        <w:rPr>
          <w:b/>
          <w:sz w:val="24"/>
        </w:rPr>
        <w:t xml:space="preserve">Kochi,India, 28 January – 1 February 2019 </w:t>
      </w:r>
      <w:r>
        <w:rPr>
          <w:b/>
          <w:sz w:val="24"/>
        </w:rPr>
        <w:tab/>
      </w:r>
    </w:p>
    <w:p>
      <w:pPr>
        <w:pBdr>
          <w:bottom w:val="single" w:color="auto" w:sz="4" w:space="1"/>
        </w:pBdr>
        <w:tabs>
          <w:tab w:val="right" w:pos="9639"/>
        </w:tabs>
        <w:overflowPunct/>
        <w:autoSpaceDE/>
        <w:autoSpaceDN/>
        <w:adjustRightInd/>
        <w:jc w:val="both"/>
        <w:textAlignment w:val="auto"/>
        <w:outlineLvl w:val="0"/>
        <w:rPr>
          <w:rFonts w:hint="eastAsia"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ascii="Arial" w:hAnsi="Arial" w:eastAsia="Batang"/>
          <w:b/>
          <w:lang w:val="en-US" w:eastAsia="zh-CN"/>
        </w:rPr>
        <w:t>ZTE Corporation</w:t>
      </w:r>
      <w:r>
        <w:rPr>
          <w:rFonts w:hint="eastAsia" w:ascii="Arial" w:hAnsi="Arial" w:eastAsia="Batang"/>
          <w:b/>
          <w:lang w:val="en-US" w:eastAsia="zh-CN"/>
        </w:rPr>
        <w:t>, China Unicom, China Telecom, CAICT</w:t>
      </w:r>
      <w:bookmarkStart w:id="0" w:name="_GoBack"/>
      <w:bookmarkEnd w:id="0"/>
      <w:r>
        <w:rPr>
          <w:rFonts w:hint="eastAsia" w:ascii="Arial" w:hAnsi="Arial" w:eastAsia="Batang"/>
          <w:b/>
          <w:lang w:val="en-US" w:eastAsia="zh-CN"/>
        </w:rPr>
        <w:t>, CATT</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ascii="Arial" w:hAnsi="Arial" w:eastAsia="Batang" w:cs="Arial"/>
          <w:b/>
          <w:lang w:eastAsia="zh-CN"/>
        </w:rPr>
        <w:t xml:space="preserve">New SID on </w:t>
      </w:r>
      <w:r>
        <w:rPr>
          <w:rFonts w:hint="eastAsia" w:ascii="Arial" w:hAnsi="Arial" w:eastAsia="Batang" w:cs="Arial"/>
          <w:b/>
          <w:lang w:val="en-US" w:eastAsia="zh-CN"/>
        </w:rPr>
        <w:t>IPsec</w:t>
      </w:r>
      <w:r>
        <w:rPr>
          <w:rFonts w:ascii="Arial" w:hAnsi="Arial" w:eastAsia="Batang" w:cs="Arial"/>
          <w:b/>
          <w:lang w:val="en-US" w:eastAsia="zh-CN"/>
        </w:rPr>
        <w:t xml:space="preserve"> enhancement to</w:t>
      </w:r>
      <w:r>
        <w:rPr>
          <w:rFonts w:hint="eastAsia" w:ascii="Arial" w:hAnsi="Arial" w:eastAsia="Batang" w:cs="Arial"/>
          <w:b/>
          <w:lang w:val="en-US" w:eastAsia="zh-CN"/>
        </w:rPr>
        <w:t xml:space="preserve"> meet </w:t>
      </w:r>
      <w:r>
        <w:rPr>
          <w:rFonts w:ascii="Arial" w:hAnsi="Arial" w:eastAsia="Batang" w:cs="Arial"/>
          <w:b/>
          <w:lang w:eastAsia="zh-CN"/>
        </w:rPr>
        <w:t>5G</w:t>
      </w:r>
      <w:r>
        <w:rPr>
          <w:rFonts w:hint="eastAsia" w:ascii="Arial" w:hAnsi="Arial" w:eastAsia="Batang" w:cs="Arial"/>
          <w:b/>
          <w:lang w:val="en-US" w:eastAsia="zh-CN"/>
        </w:rPr>
        <w:t xml:space="preserve"> data rate requirements</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b/>
          <w:lang w:eastAsia="zh-CN"/>
        </w:rPr>
        <w:t>Document for:</w:t>
      </w:r>
      <w:r>
        <w:rPr>
          <w:rFonts w:ascii="Arial" w:hAnsi="Arial" w:eastAsia="Batang"/>
          <w:b/>
          <w:lang w:eastAsia="zh-CN"/>
        </w:rPr>
        <w:tab/>
      </w:r>
      <w:r>
        <w:rPr>
          <w:rFonts w:ascii="Arial" w:hAnsi="Arial" w:eastAsia="Batang"/>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b/>
          <w:lang w:val="en-US" w:eastAsia="zh-CN"/>
        </w:rPr>
        <w:t>8.21/New study item proposals</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7"/>
          <w:rFonts w:cs="Arial"/>
        </w:rPr>
        <w:t>http://www.3gpp.org/Work-Items</w:t>
      </w:r>
      <w:r>
        <w:rPr>
          <w:rStyle w:val="47"/>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7"/>
        </w:rPr>
        <w:t>3GPP Working Procedures</w:t>
      </w:r>
      <w:r>
        <w:rPr>
          <w:rStyle w:val="47"/>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7"/>
        </w:rPr>
        <w:t>3GPP TR 21.900</w:t>
      </w:r>
      <w:r>
        <w:rPr>
          <w:rStyle w:val="47"/>
        </w:rPr>
        <w:fldChar w:fldCharType="end"/>
      </w:r>
    </w:p>
    <w:p>
      <w:pPr>
        <w:pStyle w:val="2"/>
      </w:pPr>
      <w:r>
        <w:t xml:space="preserve">Title: </w:t>
      </w:r>
      <w:r>
        <w:tab/>
      </w:r>
      <w:r>
        <w:t xml:space="preserve">Study on </w:t>
      </w:r>
      <w:r>
        <w:rPr>
          <w:rFonts w:hint="eastAsia"/>
          <w:szCs w:val="22"/>
          <w:lang w:val="en-US" w:eastAsia="zh-CN"/>
        </w:rPr>
        <w:t>IP</w:t>
      </w:r>
      <w:r>
        <w:rPr>
          <w:szCs w:val="22"/>
          <w:lang w:val="en-US" w:eastAsia="zh-CN"/>
        </w:rPr>
        <w:t>s</w:t>
      </w:r>
      <w:r>
        <w:rPr>
          <w:rFonts w:hint="eastAsia"/>
          <w:szCs w:val="22"/>
          <w:lang w:val="en-US" w:eastAsia="zh-CN"/>
        </w:rPr>
        <w:t>ec</w:t>
      </w:r>
      <w:r>
        <w:rPr>
          <w:szCs w:val="22"/>
          <w:lang w:val="en-US" w:eastAsia="zh-CN"/>
        </w:rPr>
        <w:t xml:space="preserve"> enhancement</w:t>
      </w:r>
      <w:r>
        <w:rPr>
          <w:rFonts w:hint="eastAsia"/>
          <w:szCs w:val="22"/>
          <w:lang w:val="en-US" w:eastAsia="zh-CN"/>
        </w:rPr>
        <w:t xml:space="preserve"> to meet </w:t>
      </w:r>
      <w:r>
        <w:rPr>
          <w:szCs w:val="22"/>
          <w:lang w:eastAsia="zh-CN"/>
        </w:rPr>
        <w:t>5G</w:t>
      </w:r>
      <w:r>
        <w:rPr>
          <w:rFonts w:hint="eastAsia"/>
          <w:szCs w:val="22"/>
          <w:lang w:val="en-US" w:eastAsia="zh-CN"/>
        </w:rPr>
        <w:t xml:space="preserve"> data rate requirements</w:t>
      </w:r>
      <w:r>
        <w:t xml:space="preserve"> </w:t>
      </w:r>
    </w:p>
    <w:p>
      <w:pPr>
        <w:pStyle w:val="3"/>
        <w:tabs>
          <w:tab w:val="left" w:pos="2552"/>
        </w:tabs>
      </w:pPr>
      <w:r>
        <w:t xml:space="preserve">Acronym: </w:t>
      </w:r>
      <w:r>
        <w:rPr>
          <w:highlight w:val="none"/>
        </w:rPr>
        <w:t>FS_IPSEC_ENH</w:t>
      </w:r>
    </w:p>
    <w:p>
      <w:pPr>
        <w:pStyle w:val="3"/>
        <w:tabs>
          <w:tab w:val="left" w:pos="2552"/>
        </w:tabs>
      </w:pPr>
      <w:r>
        <w:t xml:space="preserve">Unique identifier: </w:t>
      </w:r>
      <w:r>
        <w:tab/>
      </w:r>
      <w:r>
        <w:t xml:space="preserve"> xxx</w:t>
      </w:r>
    </w:p>
    <w:p>
      <w:pPr>
        <w:ind w:right="-99"/>
      </w:pPr>
      <w:r>
        <w:t xml:space="preserve"> </w:t>
      </w:r>
    </w:p>
    <w:p>
      <w:pPr>
        <w:pStyle w:val="3"/>
      </w:pPr>
      <w:r>
        <w:t>1</w:t>
      </w:r>
      <w:r>
        <w:tab/>
      </w:r>
      <w:r>
        <w:t xml:space="preserve">Impacts </w:t>
      </w:r>
      <w:r>
        <w:tab/>
      </w:r>
    </w:p>
    <w:tbl>
      <w:tblPr>
        <w:tblStyle w:val="50"/>
        <w:tblW w:w="5331"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79"/>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rPr>
          <w:jc w:val="center"/>
        </w:trPr>
        <w:tc>
          <w:tcPr>
            <w:tcW w:w="1179" w:type="dxa"/>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1127" w:type="dxa"/>
            <w:tcBorders>
              <w:left w:val="nil"/>
              <w:bottom w:val="single" w:color="auto" w:sz="12" w:space="0"/>
            </w:tcBorders>
            <w:shd w:val="clear" w:color="auto" w:fill="E0E0E0"/>
          </w:tcPr>
          <w:p>
            <w:pPr>
              <w:pStyle w:val="54"/>
            </w:pPr>
            <w:r>
              <w:t>UICC apps</w:t>
            </w:r>
          </w:p>
        </w:tc>
        <w:tc>
          <w:tcPr>
            <w:tcW w:w="486" w:type="dxa"/>
            <w:tcBorders>
              <w:bottom w:val="single" w:color="auto" w:sz="12" w:space="0"/>
            </w:tcBorders>
            <w:shd w:val="clear" w:color="auto" w:fill="E0E0E0"/>
          </w:tcPr>
          <w:p>
            <w:pPr>
              <w:pStyle w:val="54"/>
            </w:pPr>
            <w:r>
              <w:t>ME</w:t>
            </w:r>
          </w:p>
        </w:tc>
        <w:tc>
          <w:tcPr>
            <w:tcW w:w="476" w:type="dxa"/>
            <w:tcBorders>
              <w:bottom w:val="single" w:color="auto" w:sz="12" w:space="0"/>
            </w:tcBorders>
            <w:shd w:val="clear" w:color="auto" w:fill="E0E0E0"/>
          </w:tcPr>
          <w:p>
            <w:pPr>
              <w:pStyle w:val="54"/>
            </w:pPr>
            <w:r>
              <w:t>AN</w:t>
            </w:r>
          </w:p>
        </w:tc>
        <w:tc>
          <w:tcPr>
            <w:tcW w:w="476" w:type="dxa"/>
            <w:tcBorders>
              <w:bottom w:val="single" w:color="auto" w:sz="12" w:space="0"/>
            </w:tcBorders>
            <w:shd w:val="clear" w:color="auto" w:fill="E0E0E0"/>
          </w:tcPr>
          <w:p>
            <w:pPr>
              <w:pStyle w:val="54"/>
            </w:pPr>
            <w:r>
              <w:t>CN</w:t>
            </w:r>
          </w:p>
        </w:tc>
        <w:tc>
          <w:tcPr>
            <w:tcW w:w="1587" w:type="dxa"/>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rPr>
          <w:jc w:val="center"/>
        </w:trPr>
        <w:tc>
          <w:tcPr>
            <w:tcW w:w="1179" w:type="dxa"/>
            <w:tcBorders>
              <w:top w:val="nil"/>
              <w:right w:val="single" w:color="auto" w:sz="12" w:space="0"/>
            </w:tcBorders>
          </w:tcPr>
          <w:p>
            <w:pPr>
              <w:pStyle w:val="52"/>
              <w:keepNext w:val="0"/>
              <w:ind w:right="-99"/>
              <w:rPr>
                <w:b/>
              </w:rPr>
            </w:pPr>
            <w:r>
              <w:rPr>
                <w:b/>
              </w:rPr>
              <w:t>Yes</w:t>
            </w:r>
          </w:p>
        </w:tc>
        <w:tc>
          <w:tcPr>
            <w:tcW w:w="1127" w:type="dxa"/>
            <w:tcBorders>
              <w:top w:val="nil"/>
              <w:left w:val="nil"/>
            </w:tcBorders>
          </w:tcPr>
          <w:p>
            <w:pPr>
              <w:pStyle w:val="55"/>
            </w:pPr>
          </w:p>
        </w:tc>
        <w:tc>
          <w:tcPr>
            <w:tcW w:w="486" w:type="dxa"/>
            <w:tcBorders>
              <w:top w:val="nil"/>
            </w:tcBorders>
          </w:tcPr>
          <w:p>
            <w:pPr>
              <w:pStyle w:val="55"/>
            </w:pPr>
          </w:p>
        </w:tc>
        <w:tc>
          <w:tcPr>
            <w:tcW w:w="476" w:type="dxa"/>
            <w:tcBorders>
              <w:top w:val="nil"/>
            </w:tcBorders>
          </w:tcPr>
          <w:p>
            <w:pPr>
              <w:pStyle w:val="55"/>
              <w:rPr>
                <w:rFonts w:hint="eastAsia"/>
                <w:lang w:eastAsia="zh-CN"/>
              </w:rPr>
            </w:pPr>
            <w:r>
              <w:rPr>
                <w:rFonts w:hint="eastAsia"/>
                <w:lang w:eastAsia="zh-CN"/>
              </w:rPr>
              <w:t>X</w:t>
            </w:r>
          </w:p>
        </w:tc>
        <w:tc>
          <w:tcPr>
            <w:tcW w:w="476" w:type="dxa"/>
            <w:tcBorders>
              <w:top w:val="nil"/>
            </w:tcBorders>
          </w:tcPr>
          <w:p>
            <w:pPr>
              <w:pStyle w:val="55"/>
              <w:rPr>
                <w:rFonts w:hint="eastAsia"/>
                <w:lang w:eastAsia="zh-CN"/>
              </w:rPr>
            </w:pPr>
            <w:r>
              <w:rPr>
                <w:rFonts w:hint="eastAsia"/>
                <w:lang w:eastAsia="zh-CN"/>
              </w:rPr>
              <w:t>X</w:t>
            </w:r>
          </w:p>
        </w:tc>
        <w:tc>
          <w:tcPr>
            <w:tcW w:w="1587" w:type="dxa"/>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rPr>
          <w:jc w:val="center"/>
        </w:trPr>
        <w:tc>
          <w:tcPr>
            <w:tcW w:w="1179" w:type="dxa"/>
            <w:tcBorders>
              <w:right w:val="single" w:color="auto" w:sz="12" w:space="0"/>
            </w:tcBorders>
          </w:tcPr>
          <w:p>
            <w:pPr>
              <w:pStyle w:val="52"/>
              <w:keepNext w:val="0"/>
              <w:ind w:right="-99"/>
              <w:rPr>
                <w:b/>
              </w:rPr>
            </w:pPr>
            <w:r>
              <w:rPr>
                <w:b/>
              </w:rPr>
              <w:t>No</w:t>
            </w:r>
          </w:p>
        </w:tc>
        <w:tc>
          <w:tcPr>
            <w:tcW w:w="1127" w:type="dxa"/>
            <w:tcBorders>
              <w:left w:val="nil"/>
            </w:tcBorders>
          </w:tcPr>
          <w:p>
            <w:pPr>
              <w:pStyle w:val="55"/>
              <w:rPr>
                <w:rFonts w:hint="eastAsia"/>
                <w:lang w:eastAsia="zh-CN"/>
              </w:rPr>
            </w:pPr>
            <w:r>
              <w:rPr>
                <w:rFonts w:hint="eastAsia"/>
                <w:lang w:eastAsia="zh-CN"/>
              </w:rPr>
              <w:t>X</w:t>
            </w:r>
          </w:p>
        </w:tc>
        <w:tc>
          <w:tcPr>
            <w:tcW w:w="486" w:type="dxa"/>
          </w:tcPr>
          <w:p>
            <w:pPr>
              <w:pStyle w:val="55"/>
              <w:rPr>
                <w:rFonts w:hint="eastAsia"/>
                <w:lang w:eastAsia="zh-CN"/>
              </w:rPr>
            </w:pPr>
            <w:r>
              <w:rPr>
                <w:rFonts w:hint="eastAsia"/>
                <w:lang w:eastAsia="zh-CN"/>
              </w:rPr>
              <w:t>X</w:t>
            </w:r>
          </w:p>
        </w:tc>
        <w:tc>
          <w:tcPr>
            <w:tcW w:w="476" w:type="dxa"/>
          </w:tcPr>
          <w:p>
            <w:pPr>
              <w:pStyle w:val="55"/>
            </w:pPr>
          </w:p>
        </w:tc>
        <w:tc>
          <w:tcPr>
            <w:tcW w:w="476" w:type="dxa"/>
          </w:tcPr>
          <w:p>
            <w:pPr>
              <w:pStyle w:val="55"/>
            </w:pPr>
          </w:p>
        </w:tc>
        <w:tc>
          <w:tcPr>
            <w:tcW w:w="1587" w:type="dxa"/>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rPr>
          <w:jc w:val="center"/>
        </w:trPr>
        <w:tc>
          <w:tcPr>
            <w:tcW w:w="1179" w:type="dxa"/>
            <w:tcBorders>
              <w:right w:val="single" w:color="auto" w:sz="12" w:space="0"/>
            </w:tcBorders>
          </w:tcPr>
          <w:p>
            <w:pPr>
              <w:pStyle w:val="52"/>
              <w:keepNext w:val="0"/>
              <w:ind w:right="-99"/>
              <w:rPr>
                <w:b/>
              </w:rPr>
            </w:pPr>
            <w:r>
              <w:rPr>
                <w:b/>
              </w:rPr>
              <w:t>Don't know</w:t>
            </w:r>
          </w:p>
        </w:tc>
        <w:tc>
          <w:tcPr>
            <w:tcW w:w="1127" w:type="dxa"/>
            <w:tcBorders>
              <w:left w:val="nil"/>
            </w:tcBorders>
          </w:tcPr>
          <w:p>
            <w:pPr>
              <w:pStyle w:val="55"/>
              <w:rPr>
                <w:rFonts w:hint="eastAsia"/>
                <w:lang w:eastAsia="zh-CN"/>
              </w:rPr>
            </w:pPr>
          </w:p>
        </w:tc>
        <w:tc>
          <w:tcPr>
            <w:tcW w:w="486" w:type="dxa"/>
          </w:tcPr>
          <w:p>
            <w:pPr>
              <w:pStyle w:val="55"/>
            </w:pPr>
          </w:p>
        </w:tc>
        <w:tc>
          <w:tcPr>
            <w:tcW w:w="476" w:type="dxa"/>
          </w:tcPr>
          <w:p>
            <w:pPr>
              <w:pStyle w:val="55"/>
            </w:pPr>
          </w:p>
        </w:tc>
        <w:tc>
          <w:tcPr>
            <w:tcW w:w="476" w:type="dxa"/>
          </w:tcPr>
          <w:p>
            <w:pPr>
              <w:pStyle w:val="55"/>
            </w:pPr>
          </w:p>
        </w:tc>
        <w:tc>
          <w:tcPr>
            <w:tcW w:w="1587" w:type="dxa"/>
          </w:tcPr>
          <w:p>
            <w:pPr>
              <w:pStyle w:val="55"/>
              <w:rPr>
                <w:rFonts w:hint="eastAsia"/>
                <w:lang w:eastAsia="zh-CN"/>
              </w:rPr>
            </w:pPr>
            <w:r>
              <w:rPr>
                <w:rFonts w:hint="eastAsia"/>
                <w:lang w:eastAsia="zh-CN"/>
              </w:rPr>
              <w:t>X</w:t>
            </w: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88"/>
      </w:pPr>
      <w:r>
        <w:t xml:space="preserve">This work item is a … </w:t>
      </w:r>
    </w:p>
    <w:tbl>
      <w:tblPr>
        <w:tblStyle w:val="50"/>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c>
          <w:tcPr>
            <w:tcW w:w="675" w:type="dxa"/>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tcPr>
          <w:p>
            <w:pPr>
              <w:pStyle w:val="55"/>
            </w:pP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tcPr>
          <w:p>
            <w:pPr>
              <w:pStyle w:val="55"/>
              <w:rPr>
                <w:rFonts w:hint="eastAsia"/>
                <w:lang w:eastAsia="zh-CN"/>
              </w:rPr>
            </w:pPr>
            <w:r>
              <w:rPr>
                <w:rFonts w:hint="eastAsia"/>
                <w:lang w:eastAsia="zh-CN"/>
              </w:rPr>
              <w:t>X</w:t>
            </w:r>
          </w:p>
        </w:tc>
        <w:tc>
          <w:tcPr>
            <w:tcW w:w="2694" w:type="dxa"/>
            <w:shd w:val="clear" w:color="auto" w:fill="E0E0E0"/>
          </w:tcPr>
          <w:p>
            <w:pPr>
              <w:pStyle w:val="54"/>
              <w:ind w:right="-99"/>
              <w:jc w:val="left"/>
            </w:pPr>
            <w:r>
              <w:rPr>
                <w:color w:val="4F81BD"/>
                <w:sz w:val="20"/>
              </w:rPr>
              <w:t>Study Item</w:t>
            </w:r>
          </w:p>
        </w:tc>
      </w:tr>
    </w:tbl>
    <w:p>
      <w:pPr>
        <w:ind w:right="-99"/>
        <w:rPr>
          <w:b/>
        </w:rPr>
      </w:pPr>
    </w:p>
    <w:p>
      <w:pPr>
        <w:pStyle w:val="4"/>
      </w:pPr>
      <w:r>
        <w:t>2.2</w:t>
      </w:r>
      <w:r>
        <w:tab/>
      </w:r>
      <w:r>
        <w:t xml:space="preserve">Parent Work Item </w:t>
      </w:r>
    </w:p>
    <w:p>
      <w:pPr>
        <w:rPr>
          <w:i/>
        </w:rPr>
      </w:pPr>
    </w:p>
    <w:tbl>
      <w:tblPr>
        <w:tblStyle w:val="50"/>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850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c>
          <w:tcPr>
            <w:tcW w:w="9606" w:type="dxa"/>
            <w:gridSpan w:val="2"/>
            <w:shd w:val="clear" w:color="auto" w:fill="E0E0E0"/>
          </w:tcPr>
          <w:p>
            <w:pPr>
              <w:pStyle w:val="54"/>
              <w:ind w:right="-99"/>
              <w:jc w:val="left"/>
            </w:pPr>
            <w:r>
              <w:t xml:space="preserve">Parent Work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c>
          <w:tcPr>
            <w:tcW w:w="1101" w:type="dxa"/>
            <w:shd w:val="clear" w:color="auto" w:fill="E0E0E0"/>
          </w:tcPr>
          <w:p>
            <w:pPr>
              <w:pStyle w:val="54"/>
              <w:ind w:right="-99"/>
              <w:jc w:val="left"/>
            </w:pPr>
            <w:r>
              <w:t>Unique ID</w:t>
            </w:r>
          </w:p>
        </w:tc>
        <w:tc>
          <w:tcPr>
            <w:tcW w:w="8505" w:type="dxa"/>
            <w:shd w:val="clear" w:color="auto" w:fill="E0E0E0"/>
          </w:tcPr>
          <w:p>
            <w:pPr>
              <w:pStyle w:val="54"/>
              <w:ind w:right="-99"/>
              <w:jc w:val="left"/>
            </w:pPr>
            <w:r>
              <w:t>Title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tcPr>
          <w:p>
            <w:pPr>
              <w:pStyle w:val="52"/>
            </w:pPr>
          </w:p>
        </w:tc>
        <w:tc>
          <w:tcPr>
            <w:tcW w:w="8505" w:type="dxa"/>
          </w:tcPr>
          <w:p>
            <w:pPr>
              <w:pStyle w:val="88"/>
            </w:pPr>
          </w:p>
        </w:tc>
      </w:tr>
    </w:tbl>
    <w:p>
      <w:pPr>
        <w:ind w:right="-99"/>
        <w:rPr>
          <w:b/>
        </w:rPr>
      </w:pPr>
    </w:p>
    <w:p>
      <w:pPr>
        <w:pStyle w:val="4"/>
      </w:pPr>
      <w:r>
        <w:t>2.3</w:t>
      </w:r>
      <w:r>
        <w:tab/>
      </w:r>
      <w:r>
        <w:t>Other related Work Items and dependencies</w:t>
      </w:r>
    </w:p>
    <w:p>
      <w:pPr>
        <w:rPr>
          <w:i/>
        </w:rPr>
      </w:pPr>
    </w:p>
    <w:tbl>
      <w:tblPr>
        <w:tblStyle w:val="50"/>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9606" w:type="dxa"/>
            <w:gridSpan w:val="3"/>
            <w:shd w:val="clear" w:color="auto" w:fill="E0E0E0"/>
          </w:tcPr>
          <w:p>
            <w:pPr>
              <w:pStyle w:val="54"/>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c>
          <w:tcPr>
            <w:tcW w:w="1101" w:type="dxa"/>
            <w:shd w:val="clear" w:color="auto" w:fill="E0E0E0"/>
          </w:tcPr>
          <w:p>
            <w:pPr>
              <w:pStyle w:val="54"/>
              <w:ind w:right="-99"/>
              <w:jc w:val="left"/>
            </w:pPr>
            <w:r>
              <w:t>Unique ID</w:t>
            </w:r>
          </w:p>
        </w:tc>
        <w:tc>
          <w:tcPr>
            <w:tcW w:w="3969" w:type="dxa"/>
            <w:shd w:val="clear" w:color="auto" w:fill="E0E0E0"/>
          </w:tcPr>
          <w:p>
            <w:pPr>
              <w:pStyle w:val="54"/>
              <w:ind w:right="-99"/>
              <w:jc w:val="left"/>
            </w:pPr>
            <w:r>
              <w:t>Title</w:t>
            </w:r>
          </w:p>
        </w:tc>
        <w:tc>
          <w:tcPr>
            <w:tcW w:w="4536"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tcPr>
          <w:p>
            <w:pPr>
              <w:pStyle w:val="52"/>
            </w:pPr>
          </w:p>
        </w:tc>
        <w:tc>
          <w:tcPr>
            <w:tcW w:w="3969" w:type="dxa"/>
          </w:tcPr>
          <w:p>
            <w:pPr>
              <w:pStyle w:val="52"/>
            </w:pPr>
          </w:p>
        </w:tc>
        <w:tc>
          <w:tcPr>
            <w:tcW w:w="4536" w:type="dxa"/>
          </w:tcPr>
          <w:p>
            <w:pPr>
              <w:pStyle w:val="88"/>
            </w:pPr>
          </w:p>
        </w:tc>
      </w:tr>
    </w:tbl>
    <w:p>
      <w:pPr>
        <w:rPr>
          <w:i/>
        </w:rPr>
      </w:pPr>
    </w:p>
    <w:p>
      <w:pPr>
        <w:pStyle w:val="3"/>
      </w:pPr>
      <w:r>
        <w:t>3</w:t>
      </w:r>
      <w:r>
        <w:tab/>
      </w:r>
      <w:r>
        <w:t>Justification</w:t>
      </w:r>
    </w:p>
    <w:p>
      <w:pPr>
        <w:rPr>
          <w:lang w:val="en-US" w:eastAsia="zh-CN"/>
        </w:rPr>
      </w:pPr>
      <w:r>
        <w:rPr>
          <w:rFonts w:hint="eastAsia"/>
          <w:lang w:val="en-US" w:eastAsia="zh-CN"/>
        </w:rPr>
        <w:t>IP</w:t>
      </w:r>
      <w:r>
        <w:rPr>
          <w:lang w:val="en-US" w:eastAsia="zh-CN"/>
        </w:rPr>
        <w:t>S</w:t>
      </w:r>
      <w:r>
        <w:rPr>
          <w:rFonts w:hint="eastAsia"/>
          <w:lang w:val="en-US" w:eastAsia="zh-CN"/>
        </w:rPr>
        <w:t xml:space="preserve">ec is </w:t>
      </w:r>
      <w:r>
        <w:rPr>
          <w:lang w:val="en-US" w:eastAsia="zh-CN"/>
        </w:rPr>
        <w:t xml:space="preserve">an essential security function for </w:t>
      </w:r>
      <w:r>
        <w:rPr>
          <w:rFonts w:hint="eastAsia"/>
          <w:lang w:val="en-US" w:eastAsia="zh-CN"/>
        </w:rPr>
        <w:t>data transferring</w:t>
      </w:r>
      <w:r>
        <w:rPr>
          <w:lang w:val="en-US" w:eastAsia="zh-CN"/>
        </w:rPr>
        <w:t xml:space="preserve"> in 3GPP network, especially for those interfaces related to gNB and UPF, e.g. F1, N2, and N3</w:t>
      </w:r>
      <w:r>
        <w:rPr>
          <w:rFonts w:hint="eastAsia"/>
          <w:lang w:val="en-US" w:eastAsia="zh-CN"/>
        </w:rPr>
        <w:t>.</w:t>
      </w:r>
    </w:p>
    <w:p>
      <w:pPr>
        <w:rPr>
          <w:lang w:val="en-US" w:eastAsia="zh-CN"/>
        </w:rPr>
      </w:pPr>
      <w:r>
        <w:rPr>
          <w:rFonts w:hint="eastAsia"/>
          <w:lang w:val="en-US" w:eastAsia="zh-CN"/>
        </w:rPr>
        <w:t xml:space="preserve">ITU-R defines </w:t>
      </w:r>
      <w:r>
        <w:rPr>
          <w:lang w:val="en-US" w:eastAsia="zh-CN"/>
        </w:rPr>
        <w:t xml:space="preserve">5G </w:t>
      </w:r>
      <w:r>
        <w:rPr>
          <w:rFonts w:hint="eastAsia"/>
          <w:lang w:val="en-US" w:eastAsia="zh-CN"/>
        </w:rPr>
        <w:t>key network capabilities including 20Gb</w:t>
      </w:r>
      <w:r>
        <w:rPr>
          <w:lang w:val="en-US" w:eastAsia="zh-CN"/>
        </w:rPr>
        <w:t>ps</w:t>
      </w:r>
      <w:r>
        <w:rPr>
          <w:rFonts w:hint="eastAsia"/>
          <w:lang w:val="en-US" w:eastAsia="zh-CN"/>
        </w:rPr>
        <w:t xml:space="preserve"> per UE to support eMBB service.</w:t>
      </w:r>
      <w:r>
        <w:rPr>
          <w:lang w:val="en-US" w:eastAsia="zh-CN"/>
        </w:rPr>
        <w:t xml:space="preserve"> </w:t>
      </w:r>
      <w:r>
        <w:rPr>
          <w:rFonts w:hint="eastAsia"/>
          <w:lang w:val="en-US" w:eastAsia="zh-CN"/>
        </w:rPr>
        <w:t xml:space="preserve">3GPP TS 38.913 defines target peak data rate should be 20Gbps for downlink and 10Gbps for uplink per UE. If an IPsec is deployed in F1 for the UE, the experimental data shows that the maximum throughput of single IPsec tunnel can only reach about 3Gbps. </w:t>
      </w:r>
      <w:r>
        <w:rPr>
          <w:lang w:val="en-US" w:eastAsia="zh-CN"/>
        </w:rPr>
        <w:t>T</w:t>
      </w:r>
      <w:r>
        <w:rPr>
          <w:rFonts w:hint="eastAsia"/>
          <w:lang w:val="en-US" w:eastAsia="zh-CN"/>
        </w:rPr>
        <w:t>he current performance of IP</w:t>
      </w:r>
      <w:r>
        <w:rPr>
          <w:lang w:val="en-US" w:eastAsia="zh-CN"/>
        </w:rPr>
        <w:t>S</w:t>
      </w:r>
      <w:r>
        <w:rPr>
          <w:rFonts w:hint="eastAsia"/>
          <w:lang w:val="en-US" w:eastAsia="zh-CN"/>
        </w:rPr>
        <w:t>ec is far from the data rate target</w:t>
      </w:r>
      <w:r>
        <w:rPr>
          <w:lang w:val="en-US" w:eastAsia="zh-CN"/>
        </w:rPr>
        <w:t xml:space="preserve">. </w:t>
      </w:r>
    </w:p>
    <w:p>
      <w:pPr>
        <w:rPr>
          <w:lang w:val="en-US" w:eastAsia="zh-CN"/>
        </w:rPr>
      </w:pPr>
    </w:p>
    <w:p>
      <w:pPr>
        <w:pStyle w:val="3"/>
      </w:pPr>
      <w:r>
        <w:t>4</w:t>
      </w:r>
      <w:r>
        <w:tab/>
      </w:r>
      <w:r>
        <w:t>Objective</w:t>
      </w:r>
    </w:p>
    <w:p>
      <w:r>
        <w:t>The objectives of this study are as follows:</w:t>
      </w:r>
    </w:p>
    <w:p>
      <w:pPr>
        <w:pStyle w:val="82"/>
      </w:pPr>
      <w:r>
        <w:t>-</w:t>
      </w:r>
      <w:r>
        <w:tab/>
      </w:r>
      <w:r>
        <w:t xml:space="preserve">Identify key issues that impact the </w:t>
      </w:r>
      <w:r>
        <w:rPr>
          <w:rFonts w:hint="eastAsia"/>
          <w:lang w:val="en-US" w:eastAsia="zh-CN"/>
        </w:rPr>
        <w:t>data rate of IP</w:t>
      </w:r>
      <w:r>
        <w:rPr>
          <w:lang w:val="en-US" w:eastAsia="zh-CN"/>
        </w:rPr>
        <w:t>S</w:t>
      </w:r>
      <w:r>
        <w:rPr>
          <w:rFonts w:hint="eastAsia"/>
          <w:lang w:val="en-US" w:eastAsia="zh-CN"/>
        </w:rPr>
        <w:t>ec</w:t>
      </w:r>
      <w:r>
        <w:t>.</w:t>
      </w:r>
    </w:p>
    <w:p>
      <w:pPr>
        <w:pStyle w:val="82"/>
      </w:pPr>
      <w:r>
        <w:t>-</w:t>
      </w:r>
      <w:r>
        <w:tab/>
      </w:r>
      <w:r>
        <w:t xml:space="preserve">Study </w:t>
      </w:r>
      <w:r>
        <w:rPr>
          <w:rFonts w:hint="eastAsia"/>
          <w:lang w:val="en-US" w:eastAsia="zh-CN"/>
        </w:rPr>
        <w:t xml:space="preserve">potential </w:t>
      </w:r>
      <w:r>
        <w:t>solutions for improving the data rate of IPSec.</w:t>
      </w:r>
    </w:p>
    <w:p>
      <w:pPr>
        <w:rPr>
          <w:i/>
        </w:rPr>
      </w:pPr>
    </w:p>
    <w:p>
      <w:pPr>
        <w:pStyle w:val="3"/>
      </w:pPr>
      <w:r>
        <w:t>5</w:t>
      </w:r>
      <w:r>
        <w:tab/>
      </w:r>
      <w:r>
        <w:t>Expected Output and Time scale</w:t>
      </w:r>
    </w:p>
    <w:tbl>
      <w:tblPr>
        <w:tblStyle w:val="50"/>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7" w:type="dxa"/>
          </w:tcPr>
          <w:p>
            <w:pPr>
              <w:spacing w:after="0"/>
            </w:pPr>
            <w:r>
              <w:t>Internal TR</w:t>
            </w:r>
          </w:p>
          <w:p>
            <w:pPr>
              <w:spacing w:after="0"/>
              <w:rPr>
                <w:i/>
              </w:rPr>
            </w:pPr>
          </w:p>
        </w:tc>
        <w:tc>
          <w:tcPr>
            <w:tcW w:w="1134" w:type="dxa"/>
          </w:tcPr>
          <w:p>
            <w:pPr>
              <w:spacing w:after="0"/>
            </w:pPr>
            <w:r>
              <w:t>33.XXX</w:t>
            </w:r>
          </w:p>
        </w:tc>
        <w:tc>
          <w:tcPr>
            <w:tcW w:w="2409" w:type="dxa"/>
          </w:tcPr>
          <w:p>
            <w:pPr>
              <w:spacing w:after="0"/>
            </w:pPr>
            <w:r>
              <w:t>Study on IPsec enhancement to meet 5G data rate requirements</w:t>
            </w:r>
          </w:p>
        </w:tc>
        <w:tc>
          <w:tcPr>
            <w:tcW w:w="993" w:type="dxa"/>
          </w:tcPr>
          <w:p>
            <w:pPr>
              <w:spacing w:after="0"/>
            </w:pPr>
            <w:r>
              <w:t>SA#85 Sept. 2019</w:t>
            </w:r>
          </w:p>
        </w:tc>
        <w:tc>
          <w:tcPr>
            <w:tcW w:w="1074" w:type="dxa"/>
          </w:tcPr>
          <w:p>
            <w:pPr>
              <w:spacing w:after="0"/>
            </w:pPr>
            <w:r>
              <w:t>SA#86 Dec. 2019</w:t>
            </w:r>
          </w:p>
        </w:tc>
        <w:tc>
          <w:tcPr>
            <w:tcW w:w="2186" w:type="dxa"/>
          </w:tcPr>
          <w:p>
            <w:pPr>
              <w:spacing w:after="0"/>
              <w:rPr>
                <w:i/>
              </w:rPr>
            </w:pPr>
          </w:p>
        </w:tc>
      </w:tr>
    </w:tbl>
    <w:p>
      <w:pPr>
        <w:pStyle w:val="63"/>
      </w:pPr>
    </w:p>
    <w:tbl>
      <w:tblPr>
        <w:tblStyle w:val="50"/>
        <w:tblW w:w="9307" w:type="dxa"/>
        <w:jc w:val="center"/>
        <w:tblInd w:w="0" w:type="dxa"/>
        <w:tblLayout w:type="fixed"/>
        <w:tblCellMar>
          <w:top w:w="0" w:type="dxa"/>
          <w:left w:w="28" w:type="dxa"/>
          <w:bottom w:w="0" w:type="dxa"/>
          <w:right w:w="28" w:type="dxa"/>
        </w:tblCellMar>
      </w:tblPr>
      <w:tblGrid>
        <w:gridCol w:w="1445"/>
        <w:gridCol w:w="4344"/>
        <w:gridCol w:w="1417"/>
        <w:gridCol w:w="2101"/>
      </w:tblGrid>
      <w:tr>
        <w:tblPrEx>
          <w:tblLayout w:type="fixed"/>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Layout w:type="fixed"/>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sz w:val="16"/>
                <w:szCs w:val="16"/>
              </w:rPr>
            </w:pPr>
            <w:r>
              <w:rPr>
                <w:sz w:val="16"/>
                <w:szCs w:val="16"/>
              </w:rPr>
              <w:t>Remarks</w:t>
            </w:r>
          </w:p>
        </w:tc>
      </w:tr>
      <w:tr>
        <w:tblPrEx>
          <w:tblLayout w:type="fixed"/>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p>
        </w:tc>
        <w:tc>
          <w:tcPr>
            <w:tcW w:w="4344" w:type="dxa"/>
            <w:tcBorders>
              <w:top w:val="single" w:color="auto" w:sz="4" w:space="0"/>
              <w:left w:val="single" w:color="auto" w:sz="4" w:space="0"/>
              <w:bottom w:val="single" w:color="auto" w:sz="4" w:space="0"/>
              <w:right w:val="single" w:color="auto" w:sz="4" w:space="0"/>
            </w:tcBorders>
          </w:tcPr>
          <w:p>
            <w:pPr>
              <w:spacing w:after="0"/>
              <w:rPr>
                <w:i/>
              </w:rPr>
            </w:pPr>
          </w:p>
        </w:tc>
        <w:tc>
          <w:tcPr>
            <w:tcW w:w="1417" w:type="dxa"/>
            <w:tcBorders>
              <w:top w:val="single" w:color="auto" w:sz="4" w:space="0"/>
              <w:left w:val="single" w:color="auto" w:sz="4" w:space="0"/>
              <w:bottom w:val="single" w:color="auto" w:sz="4" w:space="0"/>
              <w:right w:val="single" w:color="auto" w:sz="4" w:space="0"/>
            </w:tcBorders>
          </w:tcPr>
          <w:p>
            <w:pPr>
              <w:spacing w:after="0"/>
              <w:rPr>
                <w:i/>
              </w:rPr>
            </w:pPr>
          </w:p>
        </w:tc>
        <w:tc>
          <w:tcPr>
            <w:tcW w:w="2101" w:type="dxa"/>
            <w:tcBorders>
              <w:top w:val="single" w:color="auto" w:sz="4" w:space="0"/>
              <w:left w:val="single" w:color="auto" w:sz="4" w:space="0"/>
              <w:bottom w:val="single" w:color="auto" w:sz="4" w:space="0"/>
              <w:right w:val="single" w:color="auto" w:sz="4" w:space="0"/>
            </w:tcBorders>
          </w:tcPr>
          <w:p>
            <w:pPr>
              <w:spacing w:after="0"/>
              <w:rPr>
                <w:i/>
              </w:rPr>
            </w:pPr>
          </w:p>
        </w:tc>
      </w:tr>
    </w:tbl>
    <w:p>
      <w:pPr>
        <w:pStyle w:val="3"/>
        <w:spacing w:before="0" w:after="0"/>
      </w:pPr>
      <w:r>
        <w:t>6</w:t>
      </w:r>
      <w:r>
        <w:tab/>
      </w:r>
      <w:r>
        <w:t>Work item Rapporteur(s)</w:t>
      </w:r>
    </w:p>
    <w:p>
      <w:pPr>
        <w:ind w:right="-99"/>
      </w:pPr>
      <w:r>
        <w:rPr>
          <w:rFonts w:hint="eastAsia"/>
          <w:lang w:val="en-US" w:eastAsia="zh-CN"/>
        </w:rPr>
        <w:t>Jin PENG</w:t>
      </w:r>
      <w:r>
        <w:t xml:space="preserve">, ZTE Corporation, </w:t>
      </w:r>
      <w:r>
        <w:rPr>
          <w:rFonts w:hint="eastAsia"/>
          <w:lang w:val="en-US" w:eastAsia="zh-CN"/>
        </w:rPr>
        <w:t>peng.jin1</w:t>
      </w:r>
      <w:r>
        <w:t>@zte.com.cn</w:t>
      </w:r>
    </w:p>
    <w:p>
      <w:pPr>
        <w:ind w:right="-99"/>
        <w:rPr>
          <w:i/>
        </w:rPr>
      </w:pPr>
    </w:p>
    <w:p>
      <w:pPr>
        <w:pStyle w:val="3"/>
        <w:spacing w:before="0" w:after="0"/>
      </w:pPr>
      <w:r>
        <w:t>7</w:t>
      </w:r>
      <w:r>
        <w:tab/>
      </w:r>
      <w:r>
        <w:t>Work item leadership</w:t>
      </w:r>
    </w:p>
    <w:p>
      <w:pPr>
        <w:ind w:right="-99"/>
      </w:pPr>
      <w:r>
        <w:t xml:space="preserve">SA3 </w:t>
      </w:r>
    </w:p>
    <w:p>
      <w:pPr>
        <w:spacing w:after="0"/>
        <w:ind w:left="1134" w:right="-96"/>
      </w:pPr>
    </w:p>
    <w:p>
      <w:pPr>
        <w:pStyle w:val="3"/>
        <w:spacing w:before="0" w:after="0"/>
      </w:pPr>
      <w:r>
        <w:t>8</w:t>
      </w:r>
      <w:r>
        <w:tab/>
      </w:r>
      <w:r>
        <w:t>Aspects that involve other WGs</w:t>
      </w:r>
    </w:p>
    <w:p>
      <w:r>
        <w:t>None identified yet</w:t>
      </w:r>
    </w:p>
    <w:p/>
    <w:p>
      <w:pPr>
        <w:pStyle w:val="3"/>
        <w:spacing w:before="0"/>
      </w:pPr>
      <w:r>
        <w:t>9</w:t>
      </w:r>
      <w:r>
        <w:tab/>
      </w:r>
      <w:r>
        <w:t>Supporting Individual Members</w:t>
      </w:r>
    </w:p>
    <w:p>
      <w:pPr>
        <w:ind w:right="-99"/>
        <w:rPr>
          <w:i/>
        </w:rPr>
      </w:pPr>
    </w:p>
    <w:tbl>
      <w:tblPr>
        <w:tblStyle w:val="50"/>
        <w:tblW w:w="19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shd w:val="clear" w:color="auto" w:fill="E0E0E0"/>
          </w:tcPr>
          <w:p>
            <w:pPr>
              <w:pStyle w:val="54"/>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shd w:val="clear" w:color="auto" w:fill="auto"/>
          </w:tcPr>
          <w:p>
            <w:pPr>
              <w:pStyle w:val="52"/>
              <w:rPr>
                <w:rFonts w:hint="eastAsia"/>
                <w:lang w:eastAsia="zh-CN"/>
              </w:rPr>
            </w:pPr>
            <w:r>
              <w:rPr>
                <w:rFonts w:hint="eastAsia"/>
                <w:lang w:eastAsia="zh-CN"/>
              </w:rPr>
              <w:t>ZTE</w:t>
            </w:r>
            <w:r>
              <w:rPr>
                <w:lang w:eastAsia="zh-CN"/>
              </w:rPr>
              <w:t xml:space="preserv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shd w:val="clear" w:color="auto" w:fill="auto"/>
          </w:tcPr>
          <w:p>
            <w:pPr>
              <w:pStyle w:val="52"/>
            </w:pPr>
            <w:r>
              <w:rPr>
                <w:rFonts w:hint="eastAsia"/>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shd w:val="clear" w:color="auto" w:fill="auto"/>
          </w:tcPr>
          <w:p>
            <w:pPr>
              <w:pStyle w:val="52"/>
            </w:pPr>
            <w:r>
              <w:rPr>
                <w:rFonts w:hint="eastAsia"/>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shd w:val="clear" w:color="auto" w:fill="auto"/>
          </w:tcPr>
          <w:p>
            <w:pPr>
              <w:pStyle w:val="52"/>
              <w:rPr>
                <w:rFonts w:hint="default" w:eastAsiaTheme="minorEastAsia"/>
                <w:lang w:val="en-US" w:eastAsia="zh-CN"/>
              </w:rPr>
            </w:pPr>
            <w:r>
              <w:rPr>
                <w:rFonts w:hint="eastAsia"/>
              </w:rPr>
              <w:t>CA</w:t>
            </w:r>
            <w:r>
              <w:rPr>
                <w:rFonts w:hint="eastAsia"/>
                <w:lang w:val="en-US" w:eastAsia="zh-CN"/>
              </w:rPr>
              <w:t>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shd w:val="clear" w:color="auto" w:fill="auto"/>
          </w:tcPr>
          <w:p>
            <w:pPr>
              <w:pStyle w:val="52"/>
            </w:pPr>
            <w:r>
              <w:rPr>
                <w:rFonts w:hint="eastAsia"/>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shd w:val="clear" w:color="auto" w:fill="auto"/>
          </w:tcPr>
          <w:p>
            <w:pPr>
              <w:pStyle w:val="52"/>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5316"/>
    <w:rsid w:val="00037C06"/>
    <w:rsid w:val="00044DAE"/>
    <w:rsid w:val="00052BF8"/>
    <w:rsid w:val="00057116"/>
    <w:rsid w:val="000622F8"/>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30AB8"/>
    <w:rsid w:val="00173998"/>
    <w:rsid w:val="00173BC2"/>
    <w:rsid w:val="00174617"/>
    <w:rsid w:val="001759A7"/>
    <w:rsid w:val="001A4192"/>
    <w:rsid w:val="001C5C86"/>
    <w:rsid w:val="001C718D"/>
    <w:rsid w:val="001F7EB4"/>
    <w:rsid w:val="002000C2"/>
    <w:rsid w:val="00202481"/>
    <w:rsid w:val="00205F25"/>
    <w:rsid w:val="00221B1E"/>
    <w:rsid w:val="00240DCD"/>
    <w:rsid w:val="0024786B"/>
    <w:rsid w:val="00250534"/>
    <w:rsid w:val="00251D80"/>
    <w:rsid w:val="002640E5"/>
    <w:rsid w:val="0026436F"/>
    <w:rsid w:val="0026606E"/>
    <w:rsid w:val="00276403"/>
    <w:rsid w:val="002E6A7D"/>
    <w:rsid w:val="002E7A9E"/>
    <w:rsid w:val="002F3C41"/>
    <w:rsid w:val="002F6C5C"/>
    <w:rsid w:val="0030045C"/>
    <w:rsid w:val="00314DE2"/>
    <w:rsid w:val="003205AD"/>
    <w:rsid w:val="003251AD"/>
    <w:rsid w:val="0033027D"/>
    <w:rsid w:val="00335FB2"/>
    <w:rsid w:val="00344158"/>
    <w:rsid w:val="00355CB6"/>
    <w:rsid w:val="00376058"/>
    <w:rsid w:val="0038516D"/>
    <w:rsid w:val="003869D7"/>
    <w:rsid w:val="003A1EB0"/>
    <w:rsid w:val="003C0F14"/>
    <w:rsid w:val="003C2DA6"/>
    <w:rsid w:val="003C6DA6"/>
    <w:rsid w:val="003D2781"/>
    <w:rsid w:val="003D62A9"/>
    <w:rsid w:val="003F268E"/>
    <w:rsid w:val="003F7B3D"/>
    <w:rsid w:val="0040144E"/>
    <w:rsid w:val="00411698"/>
    <w:rsid w:val="00414164"/>
    <w:rsid w:val="0041789B"/>
    <w:rsid w:val="004260A5"/>
    <w:rsid w:val="00427304"/>
    <w:rsid w:val="00432283"/>
    <w:rsid w:val="0043745F"/>
    <w:rsid w:val="0044029F"/>
    <w:rsid w:val="00440BC9"/>
    <w:rsid w:val="00455DE4"/>
    <w:rsid w:val="0048267C"/>
    <w:rsid w:val="004876B9"/>
    <w:rsid w:val="00493A79"/>
    <w:rsid w:val="00495840"/>
    <w:rsid w:val="004A40BE"/>
    <w:rsid w:val="004A6A60"/>
    <w:rsid w:val="004C634D"/>
    <w:rsid w:val="004D24B9"/>
    <w:rsid w:val="004E2CE2"/>
    <w:rsid w:val="004E5172"/>
    <w:rsid w:val="004E6F8A"/>
    <w:rsid w:val="00500ACC"/>
    <w:rsid w:val="00502CD2"/>
    <w:rsid w:val="00504E33"/>
    <w:rsid w:val="00531C71"/>
    <w:rsid w:val="0055216E"/>
    <w:rsid w:val="00552C2C"/>
    <w:rsid w:val="005555B7"/>
    <w:rsid w:val="005562A8"/>
    <w:rsid w:val="005573BB"/>
    <w:rsid w:val="00557B2E"/>
    <w:rsid w:val="00561267"/>
    <w:rsid w:val="00571E3F"/>
    <w:rsid w:val="00574059"/>
    <w:rsid w:val="00586C5D"/>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30DD"/>
    <w:rsid w:val="00654893"/>
    <w:rsid w:val="00671BBB"/>
    <w:rsid w:val="00682237"/>
    <w:rsid w:val="006A0EF8"/>
    <w:rsid w:val="006A45BA"/>
    <w:rsid w:val="006B4280"/>
    <w:rsid w:val="006B4B1C"/>
    <w:rsid w:val="006C4991"/>
    <w:rsid w:val="006E0F19"/>
    <w:rsid w:val="006E1FDA"/>
    <w:rsid w:val="006E5E87"/>
    <w:rsid w:val="00706A1A"/>
    <w:rsid w:val="00707673"/>
    <w:rsid w:val="007162BE"/>
    <w:rsid w:val="00722267"/>
    <w:rsid w:val="0075252A"/>
    <w:rsid w:val="00764B84"/>
    <w:rsid w:val="00765028"/>
    <w:rsid w:val="0078034D"/>
    <w:rsid w:val="00790BCC"/>
    <w:rsid w:val="00795CEE"/>
    <w:rsid w:val="007974F5"/>
    <w:rsid w:val="007A5AA5"/>
    <w:rsid w:val="007B0F49"/>
    <w:rsid w:val="007C7445"/>
    <w:rsid w:val="007C7E14"/>
    <w:rsid w:val="007D03D2"/>
    <w:rsid w:val="007D1AB2"/>
    <w:rsid w:val="007D5EFD"/>
    <w:rsid w:val="007D79CE"/>
    <w:rsid w:val="007F522E"/>
    <w:rsid w:val="007F7421"/>
    <w:rsid w:val="00801F7F"/>
    <w:rsid w:val="00813C1F"/>
    <w:rsid w:val="00834A60"/>
    <w:rsid w:val="00854EF4"/>
    <w:rsid w:val="00863E89"/>
    <w:rsid w:val="00872B3B"/>
    <w:rsid w:val="0088222A"/>
    <w:rsid w:val="008901F6"/>
    <w:rsid w:val="00896C03"/>
    <w:rsid w:val="008A495D"/>
    <w:rsid w:val="008A76FD"/>
    <w:rsid w:val="008B2D09"/>
    <w:rsid w:val="008B519F"/>
    <w:rsid w:val="008C0E78"/>
    <w:rsid w:val="008C12D3"/>
    <w:rsid w:val="008C537F"/>
    <w:rsid w:val="008C5771"/>
    <w:rsid w:val="008D658B"/>
    <w:rsid w:val="00935CB0"/>
    <w:rsid w:val="009428A9"/>
    <w:rsid w:val="009437A2"/>
    <w:rsid w:val="00944B28"/>
    <w:rsid w:val="00965EDA"/>
    <w:rsid w:val="00967838"/>
    <w:rsid w:val="00982CD6"/>
    <w:rsid w:val="00985B73"/>
    <w:rsid w:val="009870A7"/>
    <w:rsid w:val="00992266"/>
    <w:rsid w:val="00994A54"/>
    <w:rsid w:val="009A0B51"/>
    <w:rsid w:val="009A3BC4"/>
    <w:rsid w:val="009A527F"/>
    <w:rsid w:val="009B1936"/>
    <w:rsid w:val="009B493F"/>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57906"/>
    <w:rsid w:val="00A6656B"/>
    <w:rsid w:val="00A70E1E"/>
    <w:rsid w:val="00A73257"/>
    <w:rsid w:val="00A9081F"/>
    <w:rsid w:val="00A9188C"/>
    <w:rsid w:val="00A96DFF"/>
    <w:rsid w:val="00A97002"/>
    <w:rsid w:val="00A97A52"/>
    <w:rsid w:val="00AA0D6A"/>
    <w:rsid w:val="00AB58BF"/>
    <w:rsid w:val="00AD0751"/>
    <w:rsid w:val="00AD77C4"/>
    <w:rsid w:val="00AE23B2"/>
    <w:rsid w:val="00AE25BF"/>
    <w:rsid w:val="00AF0C13"/>
    <w:rsid w:val="00B03AF5"/>
    <w:rsid w:val="00B03C01"/>
    <w:rsid w:val="00B078D6"/>
    <w:rsid w:val="00B1248D"/>
    <w:rsid w:val="00B14709"/>
    <w:rsid w:val="00B2743D"/>
    <w:rsid w:val="00B3015C"/>
    <w:rsid w:val="00B344D8"/>
    <w:rsid w:val="00B567D1"/>
    <w:rsid w:val="00B73B4C"/>
    <w:rsid w:val="00B73F75"/>
    <w:rsid w:val="00B96481"/>
    <w:rsid w:val="00BA3A53"/>
    <w:rsid w:val="00BA4095"/>
    <w:rsid w:val="00BA5B43"/>
    <w:rsid w:val="00BB2E6A"/>
    <w:rsid w:val="00BB5EBF"/>
    <w:rsid w:val="00BC642A"/>
    <w:rsid w:val="00BF7C9D"/>
    <w:rsid w:val="00C01E8C"/>
    <w:rsid w:val="00C03E01"/>
    <w:rsid w:val="00C15778"/>
    <w:rsid w:val="00C23582"/>
    <w:rsid w:val="00C2724D"/>
    <w:rsid w:val="00C27CA9"/>
    <w:rsid w:val="00C317E7"/>
    <w:rsid w:val="00C3799C"/>
    <w:rsid w:val="00C43D1E"/>
    <w:rsid w:val="00C44336"/>
    <w:rsid w:val="00C50F7C"/>
    <w:rsid w:val="00C51704"/>
    <w:rsid w:val="00C5591F"/>
    <w:rsid w:val="00C57C50"/>
    <w:rsid w:val="00C60B79"/>
    <w:rsid w:val="00C715CA"/>
    <w:rsid w:val="00C7495D"/>
    <w:rsid w:val="00C76CFF"/>
    <w:rsid w:val="00C77CE9"/>
    <w:rsid w:val="00CA0968"/>
    <w:rsid w:val="00CA168E"/>
    <w:rsid w:val="00CB4236"/>
    <w:rsid w:val="00CC72A4"/>
    <w:rsid w:val="00CD3153"/>
    <w:rsid w:val="00CF07B6"/>
    <w:rsid w:val="00CF1544"/>
    <w:rsid w:val="00CF6810"/>
    <w:rsid w:val="00D06117"/>
    <w:rsid w:val="00D31CC8"/>
    <w:rsid w:val="00D32678"/>
    <w:rsid w:val="00D521C1"/>
    <w:rsid w:val="00D71F40"/>
    <w:rsid w:val="00D77416"/>
    <w:rsid w:val="00D80FC6"/>
    <w:rsid w:val="00D94917"/>
    <w:rsid w:val="00DA74F3"/>
    <w:rsid w:val="00DB69F3"/>
    <w:rsid w:val="00DC1734"/>
    <w:rsid w:val="00DC4907"/>
    <w:rsid w:val="00DD017C"/>
    <w:rsid w:val="00DD397A"/>
    <w:rsid w:val="00DD58B7"/>
    <w:rsid w:val="00DD6699"/>
    <w:rsid w:val="00E007C5"/>
    <w:rsid w:val="00E00DBF"/>
    <w:rsid w:val="00E0213F"/>
    <w:rsid w:val="00E033E0"/>
    <w:rsid w:val="00E1026B"/>
    <w:rsid w:val="00E13CB2"/>
    <w:rsid w:val="00E20C37"/>
    <w:rsid w:val="00E24E0F"/>
    <w:rsid w:val="00E52C57"/>
    <w:rsid w:val="00E57E7D"/>
    <w:rsid w:val="00E700B7"/>
    <w:rsid w:val="00E84CD8"/>
    <w:rsid w:val="00E90B85"/>
    <w:rsid w:val="00E91679"/>
    <w:rsid w:val="00E92452"/>
    <w:rsid w:val="00E94CC1"/>
    <w:rsid w:val="00E96431"/>
    <w:rsid w:val="00E97D2A"/>
    <w:rsid w:val="00EC3039"/>
    <w:rsid w:val="00EC5235"/>
    <w:rsid w:val="00ED6B03"/>
    <w:rsid w:val="00ED7A5B"/>
    <w:rsid w:val="00EE1A9D"/>
    <w:rsid w:val="00EF4B81"/>
    <w:rsid w:val="00F07C92"/>
    <w:rsid w:val="00F138AB"/>
    <w:rsid w:val="00F14B43"/>
    <w:rsid w:val="00F203C7"/>
    <w:rsid w:val="00F215E2"/>
    <w:rsid w:val="00F21E3F"/>
    <w:rsid w:val="00F41A27"/>
    <w:rsid w:val="00F4338D"/>
    <w:rsid w:val="00F440D3"/>
    <w:rsid w:val="00F446AC"/>
    <w:rsid w:val="00F46EAF"/>
    <w:rsid w:val="00F47BE0"/>
    <w:rsid w:val="00F5774F"/>
    <w:rsid w:val="00F62688"/>
    <w:rsid w:val="00F76BE5"/>
    <w:rsid w:val="00F83D11"/>
    <w:rsid w:val="00F921F1"/>
    <w:rsid w:val="00FB127E"/>
    <w:rsid w:val="00FC0804"/>
    <w:rsid w:val="00FC3B6D"/>
    <w:rsid w:val="00FD3A4E"/>
    <w:rsid w:val="00FF3F0C"/>
    <w:rsid w:val="19B15441"/>
    <w:rsid w:val="1FCD0C31"/>
    <w:rsid w:val="255B36B3"/>
    <w:rsid w:val="269B3D60"/>
    <w:rsid w:val="2943647B"/>
    <w:rsid w:val="2CA64CA7"/>
    <w:rsid w:val="3DB362D0"/>
    <w:rsid w:val="5A546AC0"/>
    <w:rsid w:val="5C5F4A6E"/>
    <w:rsid w:val="7E820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qFormat/>
    <w:uiPriority w:val="0"/>
  </w:style>
  <w:style w:type="table" w:default="1" w:styleId="50">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Body Text"/>
    <w:basedOn w:val="1"/>
    <w:qFormat/>
    <w:uiPriority w:val="0"/>
    <w:pPr>
      <w:widowControl w:val="0"/>
    </w:pPr>
    <w:rPr>
      <w:i/>
      <w:lang w:val="en-US"/>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character" w:styleId="45">
    <w:name w:val="endnote reference"/>
    <w:semiHidden/>
    <w:qFormat/>
    <w:uiPriority w:val="0"/>
    <w:rPr>
      <w:vertAlign w:val="superscript"/>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szCs w:val="16"/>
    </w:rPr>
  </w:style>
  <w:style w:type="character" w:styleId="49">
    <w:name w:val="footnote reference"/>
    <w:semiHidden/>
    <w:qFormat/>
    <w:uiPriority w:val="0"/>
    <w:rPr>
      <w:b/>
      <w:position w:val="6"/>
      <w:sz w:val="16"/>
    </w:rPr>
  </w:style>
  <w:style w:type="table" w:styleId="51">
    <w:name w:val="Table Grid"/>
    <w:basedOn w:val="50"/>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2">
    <w:name w:val="TAL"/>
    <w:basedOn w:val="1"/>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uiPriority w:val="0"/>
    <w:pPr>
      <w:spacing w:after="120"/>
    </w:pPr>
    <w:rPr>
      <w:rFonts w:ascii="Arial" w:hAnsi="Arial" w:cs="Times New Roman" w:eastAsiaTheme="minorEastAsia"/>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US" w:eastAsia="en-US"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US"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US" w:eastAsia="en-US"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US" w:eastAsia="en-US"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US" w:eastAsia="en-US"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US" w:eastAsia="en-US"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US"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US" w:eastAsia="en-US"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uiPriority w:val="0"/>
  </w:style>
  <w:style w:type="paragraph" w:customStyle="1" w:styleId="84">
    <w:name w:val="B3"/>
    <w:basedOn w:val="12"/>
    <w:qFormat/>
    <w:uiPriority w:val="0"/>
  </w:style>
  <w:style w:type="paragraph" w:customStyle="1" w:styleId="85">
    <w:name w:val="B4"/>
    <w:basedOn w:val="40"/>
    <w:qFormat/>
    <w:uiPriority w:val="0"/>
  </w:style>
  <w:style w:type="paragraph" w:customStyle="1" w:styleId="86">
    <w:name w:val="B5"/>
    <w:basedOn w:val="39"/>
    <w:qFormat/>
    <w:uiPriority w:val="0"/>
  </w:style>
  <w:style w:type="paragraph" w:customStyle="1" w:styleId="87">
    <w:name w:val="ZTD"/>
    <w:basedOn w:val="75"/>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6AF483-CB7B-443D-AFC0-D5CAB733A86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Pages>
  <Words>375</Words>
  <Characters>2142</Characters>
  <Lines>17</Lines>
  <Paragraphs>5</Paragraphs>
  <TotalTime>19</TotalTime>
  <ScaleCrop>false</ScaleCrop>
  <LinksUpToDate>false</LinksUpToDate>
  <CharactersWithSpaces>2512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2019-01-15T09:02:00Z</dcterms:created>
  <dc:creator>MCC/Alain Sultan</dc:creator>
  <cp:keywords>WID template</cp:keywords>
  <cp:lastModifiedBy>Jin PENG</cp:lastModifiedBy>
  <cp:lastPrinted>2000-02-29T03:31:00Z</cp:lastPrinted>
  <dcterms:modified xsi:type="dcterms:W3CDTF">2019-01-21T08:31:38Z</dcterms:modified>
  <dc:title>WID Template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KSOProductBuildVer">
    <vt:lpwstr>2052-10.8.2.7027</vt:lpwstr>
  </property>
</Properties>
</file>